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02421778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(ΕΡΓΟ </w:t>
      </w:r>
      <w:r w:rsidR="00BD1245">
        <w:rPr>
          <w:rFonts w:asciiTheme="minorHAnsi" w:hAnsiTheme="minorHAnsi" w:cstheme="minorHAnsi"/>
          <w:b/>
        </w:rPr>
        <w:t>Β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0A311B3B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bookmarkStart w:id="0" w:name="_Hlk141857155"/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E2460A" w:rsidRPr="00A20395">
        <w:rPr>
          <w:rFonts w:asciiTheme="minorHAnsi" w:hAnsiTheme="minorHAnsi" w:cstheme="minorHAnsi"/>
        </w:rPr>
        <w:t>«</w:t>
      </w:r>
      <w:r w:rsidR="00E2460A" w:rsidRPr="00F544F2">
        <w:rPr>
          <w:rFonts w:asciiTheme="minorHAnsi" w:hAnsiTheme="minorHAnsi" w:cstheme="minorHAnsi"/>
        </w:rPr>
        <w:t xml:space="preserve">Καινοτόμες λύσεις για τη βιώσιμη και περιβαλλοντικά φιλική φυτοπροστασία των οπωροκηπευτικών της Ελλάδας, στην Ευρώπη του μέλλοντος” (Ακρωνύμιο ΙnnoPP,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5762A456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933C9B">
        <w:rPr>
          <w:rFonts w:asciiTheme="minorHAnsi" w:hAnsiTheme="minorHAnsi" w:cstheme="minorHAnsi"/>
          <w:b/>
          <w:bCs/>
        </w:rPr>
        <w:t xml:space="preserve">του έργου </w:t>
      </w:r>
      <w:r w:rsidR="00BD1245">
        <w:rPr>
          <w:rFonts w:asciiTheme="minorHAnsi" w:hAnsiTheme="minorHAnsi" w:cstheme="minorHAnsi"/>
          <w:b/>
          <w:bCs/>
        </w:rPr>
        <w:t>Β</w:t>
      </w:r>
      <w:r w:rsidRPr="00933C9B">
        <w:rPr>
          <w:rFonts w:asciiTheme="minorHAnsi" w:hAnsiTheme="minorHAnsi" w:cstheme="minorHAnsi"/>
          <w:b/>
          <w:bCs/>
        </w:rPr>
        <w:t xml:space="preserve"> 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πρόσκληση).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t>……</w:t>
      </w:r>
    </w:p>
    <w:p w14:paraId="5F380662" w14:textId="6CDF824E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A1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5C214F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6F1C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2023-08-02T05:36:00Z</dcterms:created>
  <dcterms:modified xsi:type="dcterms:W3CDTF">2023-08-02T06:27:00Z</dcterms:modified>
</cp:coreProperties>
</file>